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68" w:rsidRDefault="00293468"/>
    <w:tbl>
      <w:tblPr>
        <w:tblW w:w="6150" w:type="dxa"/>
        <w:tblCellSpacing w:w="0" w:type="dxa"/>
        <w:tblCellMar>
          <w:left w:w="0" w:type="dxa"/>
          <w:right w:w="0" w:type="dxa"/>
        </w:tblCellMar>
        <w:tblLook w:val="04A0"/>
      </w:tblPr>
      <w:tblGrid>
        <w:gridCol w:w="6150"/>
      </w:tblGrid>
      <w:tr w:rsidR="00293468" w:rsidTr="00962E27">
        <w:trPr>
          <w:tblCellSpacing w:w="0" w:type="dxa"/>
        </w:trPr>
        <w:tc>
          <w:tcPr>
            <w:tcW w:w="6150" w:type="dxa"/>
            <w:vAlign w:val="center"/>
            <w:hideMark/>
          </w:tcPr>
          <w:p w:rsidR="00293468" w:rsidRDefault="00293468" w:rsidP="00962E27">
            <w:pPr>
              <w:pStyle w:val="article-title"/>
            </w:pPr>
            <w:r>
              <w:t>Customs Technology that Reduces the Cost of Doing Business</w:t>
            </w:r>
          </w:p>
        </w:tc>
      </w:tr>
    </w:tbl>
    <w:p w:rsidR="00293468" w:rsidRDefault="00293468"/>
    <w:p w:rsidR="002A519C" w:rsidRDefault="00293468">
      <w:r w:rsidRPr="00293468">
        <w:drawing>
          <wp:inline distT="0" distB="0" distL="0" distR="0">
            <wp:extent cx="3905250" cy="3114675"/>
            <wp:effectExtent l="19050" t="0" r="0" b="0"/>
            <wp:docPr id="1" name="Picture 211" descr="http://i4.cmail1.com/ei/j/4B/1C9/C80/csimport/RADDEx.114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i4.cmail1.com/ei/j/4B/1C9/C80/csimport/RADDEx.114644.jpg"/>
                    <pic:cNvPicPr>
                      <a:picLocks noChangeAspect="1" noChangeArrowheads="1"/>
                    </pic:cNvPicPr>
                  </pic:nvPicPr>
                  <pic:blipFill>
                    <a:blip r:embed="rId4" cstate="print"/>
                    <a:srcRect/>
                    <a:stretch>
                      <a:fillRect/>
                    </a:stretch>
                  </pic:blipFill>
                  <pic:spPr bwMode="auto">
                    <a:xfrm>
                      <a:off x="0" y="0"/>
                      <a:ext cx="3905250" cy="3114675"/>
                    </a:xfrm>
                    <a:prstGeom prst="rect">
                      <a:avLst/>
                    </a:prstGeom>
                    <a:noFill/>
                    <a:ln w="9525">
                      <a:noFill/>
                      <a:miter lim="800000"/>
                      <a:headEnd/>
                      <a:tailEnd/>
                    </a:ln>
                  </pic:spPr>
                </pic:pic>
              </a:graphicData>
            </a:graphic>
          </wp:inline>
        </w:drawing>
      </w:r>
    </w:p>
    <w:p w:rsidR="00293468" w:rsidRDefault="00293468"/>
    <w:tbl>
      <w:tblPr>
        <w:tblW w:w="6150" w:type="dxa"/>
        <w:tblCellSpacing w:w="0" w:type="dxa"/>
        <w:tblCellMar>
          <w:left w:w="0" w:type="dxa"/>
          <w:right w:w="0" w:type="dxa"/>
        </w:tblCellMar>
        <w:tblLook w:val="04A0"/>
      </w:tblPr>
      <w:tblGrid>
        <w:gridCol w:w="6150"/>
      </w:tblGrid>
      <w:tr w:rsidR="00293468" w:rsidTr="00962E27">
        <w:trPr>
          <w:tblCellSpacing w:w="0" w:type="dxa"/>
        </w:trPr>
        <w:tc>
          <w:tcPr>
            <w:tcW w:w="6150" w:type="dxa"/>
            <w:vAlign w:val="center"/>
            <w:hideMark/>
          </w:tcPr>
          <w:p w:rsidR="00293468" w:rsidRDefault="00293468" w:rsidP="00962E27">
            <w:pPr>
              <w:rPr>
                <w:rFonts w:ascii="Arial" w:eastAsia="Times New Roman" w:hAnsi="Arial" w:cs="Arial"/>
                <w:sz w:val="24"/>
                <w:szCs w:val="24"/>
              </w:rPr>
            </w:pPr>
          </w:p>
        </w:tc>
      </w:tr>
      <w:tr w:rsidR="00293468" w:rsidTr="00962E27">
        <w:trPr>
          <w:trHeight w:val="225"/>
          <w:tblCellSpacing w:w="0" w:type="dxa"/>
        </w:trPr>
        <w:tc>
          <w:tcPr>
            <w:tcW w:w="6150" w:type="dxa"/>
            <w:vAlign w:val="center"/>
            <w:hideMark/>
          </w:tcPr>
          <w:p w:rsidR="00293468" w:rsidRDefault="00293468" w:rsidP="00962E27">
            <w:pPr>
              <w:rPr>
                <w:rFonts w:eastAsiaTheme="minorEastAsia"/>
              </w:rPr>
            </w:pPr>
          </w:p>
        </w:tc>
      </w:tr>
      <w:tr w:rsidR="00293468" w:rsidTr="00962E27">
        <w:trPr>
          <w:tblCellSpacing w:w="0" w:type="dxa"/>
        </w:trPr>
        <w:tc>
          <w:tcPr>
            <w:tcW w:w="6150" w:type="dxa"/>
            <w:vAlign w:val="center"/>
            <w:hideMark/>
          </w:tcPr>
          <w:p w:rsidR="00293468" w:rsidRDefault="00293468" w:rsidP="00962E27">
            <w:pPr>
              <w:spacing w:before="100" w:beforeAutospacing="1" w:after="225" w:line="270" w:lineRule="atLeast"/>
              <w:rPr>
                <w:rFonts w:ascii="Arial" w:hAnsi="Arial" w:cs="Arial"/>
                <w:color w:val="444444"/>
                <w:sz w:val="20"/>
                <w:szCs w:val="20"/>
              </w:rPr>
            </w:pPr>
            <w:r>
              <w:rPr>
                <w:rFonts w:ascii="Arial" w:hAnsi="Arial" w:cs="Arial"/>
                <w:color w:val="444444"/>
                <w:sz w:val="20"/>
                <w:szCs w:val="20"/>
              </w:rPr>
              <w:t xml:space="preserve">The East Africa Trade Hub is working with the East African Community (EAC) Secretariat, EAC Revenue Authorities, and the Federation of East African Freight Forwarders Associations to mobilize </w:t>
            </w:r>
            <w:proofErr w:type="spellStart"/>
            <w:r>
              <w:rPr>
                <w:rFonts w:ascii="Arial" w:hAnsi="Arial" w:cs="Arial"/>
                <w:color w:val="444444"/>
                <w:sz w:val="20"/>
                <w:szCs w:val="20"/>
              </w:rPr>
              <w:t>RADDEx</w:t>
            </w:r>
            <w:proofErr w:type="spellEnd"/>
            <w:r>
              <w:rPr>
                <w:rFonts w:ascii="Arial" w:hAnsi="Arial" w:cs="Arial"/>
                <w:color w:val="444444"/>
                <w:sz w:val="20"/>
                <w:szCs w:val="20"/>
              </w:rPr>
              <w:t xml:space="preserve"> (Revenue Authorities Digital Data Exchange) use among the private sector. The benefits to </w:t>
            </w:r>
            <w:proofErr w:type="spellStart"/>
            <w:r>
              <w:rPr>
                <w:rFonts w:ascii="Arial" w:hAnsi="Arial" w:cs="Arial"/>
                <w:color w:val="444444"/>
                <w:sz w:val="20"/>
                <w:szCs w:val="20"/>
              </w:rPr>
              <w:t>RADDEx</w:t>
            </w:r>
            <w:proofErr w:type="spellEnd"/>
            <w:r>
              <w:rPr>
                <w:rFonts w:ascii="Arial" w:hAnsi="Arial" w:cs="Arial"/>
                <w:color w:val="444444"/>
                <w:sz w:val="20"/>
                <w:szCs w:val="20"/>
              </w:rPr>
              <w:t xml:space="preserve"> are far reaching – including:</w:t>
            </w:r>
          </w:p>
          <w:p w:rsidR="00293468" w:rsidRDefault="00293468" w:rsidP="00962E27">
            <w:pPr>
              <w:spacing w:before="100" w:beforeAutospacing="1" w:after="225" w:line="270" w:lineRule="atLeast"/>
              <w:rPr>
                <w:rFonts w:ascii="Arial" w:hAnsi="Arial" w:cs="Arial"/>
                <w:color w:val="444444"/>
                <w:sz w:val="20"/>
                <w:szCs w:val="20"/>
              </w:rPr>
            </w:pPr>
            <w:proofErr w:type="spellStart"/>
            <w:r>
              <w:rPr>
                <w:rStyle w:val="Strong"/>
                <w:rFonts w:ascii="Arial" w:hAnsi="Arial" w:cs="Arial"/>
                <w:color w:val="444444"/>
                <w:sz w:val="20"/>
                <w:szCs w:val="20"/>
              </w:rPr>
              <w:t>RADDEx</w:t>
            </w:r>
            <w:proofErr w:type="spellEnd"/>
            <w:r>
              <w:rPr>
                <w:rStyle w:val="Strong"/>
                <w:rFonts w:ascii="Arial" w:hAnsi="Arial" w:cs="Arial"/>
                <w:color w:val="444444"/>
                <w:sz w:val="20"/>
                <w:szCs w:val="20"/>
              </w:rPr>
              <w:t xml:space="preserve"> reduces customs entry redundancy and processing time, and could save clearing agents up to two hours at every border.</w:t>
            </w:r>
            <w:r>
              <w:rPr>
                <w:rFonts w:ascii="Arial" w:hAnsi="Arial" w:cs="Arial"/>
                <w:color w:val="444444"/>
                <w:sz w:val="20"/>
                <w:szCs w:val="20"/>
              </w:rPr>
              <w:t xml:space="preserve">  The transit entry form for through transit has 38 information fields that clearing agents need to fill at every border. </w:t>
            </w:r>
            <w:proofErr w:type="spellStart"/>
            <w:r>
              <w:rPr>
                <w:rFonts w:ascii="Arial" w:hAnsi="Arial" w:cs="Arial"/>
                <w:color w:val="444444"/>
                <w:sz w:val="20"/>
                <w:szCs w:val="20"/>
              </w:rPr>
              <w:t>RADDEx</w:t>
            </w:r>
            <w:proofErr w:type="spellEnd"/>
            <w:r>
              <w:rPr>
                <w:rFonts w:ascii="Arial" w:hAnsi="Arial" w:cs="Arial"/>
                <w:color w:val="444444"/>
                <w:sz w:val="20"/>
                <w:szCs w:val="20"/>
              </w:rPr>
              <w:t xml:space="preserve"> reduces the number of fields that need to be filled to three.</w:t>
            </w:r>
          </w:p>
          <w:p w:rsidR="00293468" w:rsidRDefault="00293468" w:rsidP="00962E27">
            <w:pPr>
              <w:spacing w:before="100" w:beforeAutospacing="1" w:after="225" w:line="270" w:lineRule="atLeast"/>
              <w:rPr>
                <w:rFonts w:ascii="Arial" w:hAnsi="Arial" w:cs="Arial"/>
                <w:color w:val="444444"/>
                <w:sz w:val="20"/>
                <w:szCs w:val="20"/>
              </w:rPr>
            </w:pPr>
            <w:proofErr w:type="spellStart"/>
            <w:r>
              <w:rPr>
                <w:rStyle w:val="Strong"/>
                <w:rFonts w:ascii="Arial" w:hAnsi="Arial" w:cs="Arial"/>
                <w:color w:val="444444"/>
                <w:sz w:val="20"/>
                <w:szCs w:val="20"/>
              </w:rPr>
              <w:t>RADDEx</w:t>
            </w:r>
            <w:proofErr w:type="spellEnd"/>
            <w:r>
              <w:rPr>
                <w:rStyle w:val="Strong"/>
                <w:rFonts w:ascii="Arial" w:hAnsi="Arial" w:cs="Arial"/>
                <w:color w:val="444444"/>
                <w:sz w:val="20"/>
                <w:szCs w:val="20"/>
              </w:rPr>
              <w:t xml:space="preserve"> enables the advance clearing of goods across borders.</w:t>
            </w:r>
            <w:r>
              <w:rPr>
                <w:rFonts w:ascii="Arial" w:hAnsi="Arial" w:cs="Arial"/>
                <w:color w:val="444444"/>
                <w:sz w:val="20"/>
                <w:szCs w:val="20"/>
              </w:rPr>
              <w:t xml:space="preserve"> Once a truck has lodged its initial customs declaration at port of entry, all information regarding cargo is instantaneously relayed to the clearing agent at the border. That agent can immediately start clearing that cargo while the truck is still in transit. Advance completion of customs declarations can constitute a 50 percent reduction in time at borders. If the average clearance time at the </w:t>
            </w:r>
            <w:proofErr w:type="spellStart"/>
            <w:r>
              <w:rPr>
                <w:rFonts w:ascii="Arial" w:hAnsi="Arial" w:cs="Arial"/>
                <w:color w:val="444444"/>
                <w:sz w:val="20"/>
                <w:szCs w:val="20"/>
              </w:rPr>
              <w:t>Malaba</w:t>
            </w:r>
            <w:proofErr w:type="spellEnd"/>
            <w:r>
              <w:rPr>
                <w:rFonts w:ascii="Arial" w:hAnsi="Arial" w:cs="Arial"/>
                <w:color w:val="444444"/>
                <w:sz w:val="20"/>
                <w:szCs w:val="20"/>
              </w:rPr>
              <w:t xml:space="preserve"> border is four hours, truckers using </w:t>
            </w:r>
            <w:proofErr w:type="spellStart"/>
            <w:r>
              <w:rPr>
                <w:rFonts w:ascii="Arial" w:hAnsi="Arial" w:cs="Arial"/>
                <w:color w:val="444444"/>
                <w:sz w:val="20"/>
                <w:szCs w:val="20"/>
              </w:rPr>
              <w:t>RADDEx</w:t>
            </w:r>
            <w:proofErr w:type="spellEnd"/>
            <w:r>
              <w:rPr>
                <w:rFonts w:ascii="Arial" w:hAnsi="Arial" w:cs="Arial"/>
                <w:color w:val="444444"/>
                <w:sz w:val="20"/>
                <w:szCs w:val="20"/>
              </w:rPr>
              <w:t xml:space="preserve"> should be able to clear the border in two hours. Advance clearing is similar to checking-in online for a flight.</w:t>
            </w:r>
          </w:p>
        </w:tc>
      </w:tr>
    </w:tbl>
    <w:p w:rsidR="00293468" w:rsidRDefault="00293468"/>
    <w:sectPr w:rsidR="00293468" w:rsidSect="00C46B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93468"/>
    <w:rsid w:val="000013F3"/>
    <w:rsid w:val="000D4356"/>
    <w:rsid w:val="00124B03"/>
    <w:rsid w:val="00293468"/>
    <w:rsid w:val="003650AC"/>
    <w:rsid w:val="00395FE4"/>
    <w:rsid w:val="00490B20"/>
    <w:rsid w:val="004F6A81"/>
    <w:rsid w:val="0069545E"/>
    <w:rsid w:val="006B3C72"/>
    <w:rsid w:val="006F361A"/>
    <w:rsid w:val="00755F4F"/>
    <w:rsid w:val="007A163D"/>
    <w:rsid w:val="0083587F"/>
    <w:rsid w:val="008B1460"/>
    <w:rsid w:val="008F724A"/>
    <w:rsid w:val="0090625C"/>
    <w:rsid w:val="009B56B6"/>
    <w:rsid w:val="00C46BD3"/>
    <w:rsid w:val="00D6032B"/>
    <w:rsid w:val="00DD3E76"/>
    <w:rsid w:val="00DE2377"/>
    <w:rsid w:val="00F27388"/>
    <w:rsid w:val="00F531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468"/>
    <w:rPr>
      <w:rFonts w:ascii="Tahoma" w:hAnsi="Tahoma" w:cs="Tahoma"/>
      <w:sz w:val="16"/>
      <w:szCs w:val="16"/>
    </w:rPr>
  </w:style>
  <w:style w:type="character" w:customStyle="1" w:styleId="BalloonTextChar">
    <w:name w:val="Balloon Text Char"/>
    <w:basedOn w:val="DefaultParagraphFont"/>
    <w:link w:val="BalloonText"/>
    <w:uiPriority w:val="99"/>
    <w:semiHidden/>
    <w:rsid w:val="00293468"/>
    <w:rPr>
      <w:rFonts w:ascii="Tahoma" w:hAnsi="Tahoma" w:cs="Tahoma"/>
      <w:sz w:val="16"/>
      <w:szCs w:val="16"/>
    </w:rPr>
  </w:style>
  <w:style w:type="paragraph" w:customStyle="1" w:styleId="article-title">
    <w:name w:val="article-title"/>
    <w:basedOn w:val="Normal"/>
    <w:uiPriority w:val="99"/>
    <w:rsid w:val="00293468"/>
    <w:pPr>
      <w:spacing w:after="270" w:line="360" w:lineRule="atLeast"/>
    </w:pPr>
    <w:rPr>
      <w:rFonts w:ascii="Arial" w:hAnsi="Arial" w:cs="Arial"/>
      <w:b/>
      <w:bCs/>
      <w:color w:val="C2113A"/>
      <w:sz w:val="27"/>
      <w:szCs w:val="27"/>
      <w:lang w:eastAsia="en-ZA"/>
    </w:rPr>
  </w:style>
  <w:style w:type="character" w:styleId="Hyperlink">
    <w:name w:val="Hyperlink"/>
    <w:basedOn w:val="DefaultParagraphFont"/>
    <w:uiPriority w:val="99"/>
    <w:semiHidden/>
    <w:unhideWhenUsed/>
    <w:rsid w:val="00293468"/>
    <w:rPr>
      <w:color w:val="0000FF"/>
      <w:u w:val="single"/>
    </w:rPr>
  </w:style>
  <w:style w:type="character" w:styleId="Strong">
    <w:name w:val="Strong"/>
    <w:basedOn w:val="DefaultParagraphFont"/>
    <w:uiPriority w:val="22"/>
    <w:qFormat/>
    <w:rsid w:val="0029346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2013-05-25T07:20:00Z</dcterms:created>
  <dcterms:modified xsi:type="dcterms:W3CDTF">2013-05-25T07:23:00Z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732280520</vt:i4>
  </property>
  <property fmtid="{D5CDD505-2E9C-101B-9397-08002B2CF9AE}" pid="3" name="_NewReviewCycle">
    <vt:lpwstr/>
  </property>
  <property fmtid="{D5CDD505-2E9C-101B-9397-08002B2CF9AE}" pid="4" name="_EmailSubject">
    <vt:lpwstr/>
  </property>
  <property fmtid="{D5CDD505-2E9C-101B-9397-08002B2CF9AE}" pid="5" name="_AuthorEmail">
    <vt:lpwstr>fesarta@iafrica.com</vt:lpwstr>
  </property>
  <property fmtid="{D5CDD505-2E9C-101B-9397-08002B2CF9AE}" pid="6" name="_AuthorEmailDisplayName">
    <vt:lpwstr>Barney Curtis</vt:lpwstr>
  </property>
</Properties>
</file>